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E113EE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2A6C98F3" w:rsidR="00E113EE" w:rsidRPr="00E113EE" w:rsidRDefault="00E113EE" w:rsidP="00D15343">
            <w:pPr>
              <w:pStyle w:val="RefTableHeader"/>
            </w:pPr>
            <w:r>
              <w:t>3176-A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75EFBF5A" w:rsidR="004B15BB" w:rsidRPr="00BD1CC1" w:rsidRDefault="00D13852" w:rsidP="007E5C16">
      <w:pPr>
        <w:pStyle w:val="Heading1"/>
      </w:pPr>
      <w:r w:rsidRPr="00D13852">
        <w:t>Specialty Guideline Management</w:t>
      </w:r>
      <w:r w:rsidR="00AE122A">
        <w:br/>
      </w:r>
      <w:r w:rsidRPr="00D13852">
        <w:t>Wakix</w:t>
      </w:r>
    </w:p>
    <w:p w14:paraId="78861C92" w14:textId="70536915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584B9AEE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080728">
        <w:t>Over-the-counter (</w:t>
      </w:r>
      <w:r w:rsidRPr="00BD1CC1">
        <w:t>OTC</w:t>
      </w:r>
      <w:r w:rsidR="00080728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37024EBE" w:rsidR="00585FFF" w:rsidRPr="00BD1CC1" w:rsidRDefault="00D13852" w:rsidP="00E82ABA">
            <w:pPr>
              <w:pStyle w:val="TableDataUnpadded"/>
            </w:pPr>
            <w:r w:rsidRPr="00D13852">
              <w:t>Wakix</w:t>
            </w:r>
          </w:p>
        </w:tc>
        <w:tc>
          <w:tcPr>
            <w:tcW w:w="5595" w:type="dxa"/>
          </w:tcPr>
          <w:p w14:paraId="7E26A004" w14:textId="04B2A978" w:rsidR="00585FFF" w:rsidRPr="00BD1CC1" w:rsidRDefault="00D13852" w:rsidP="00E82ABA">
            <w:pPr>
              <w:pStyle w:val="TableDataUnpadded"/>
            </w:pPr>
            <w:proofErr w:type="spellStart"/>
            <w:r w:rsidRPr="00D13852">
              <w:t>pitolisant</w:t>
            </w:r>
            <w:proofErr w:type="spellEnd"/>
          </w:p>
        </w:tc>
      </w:tr>
    </w:tbl>
    <w:bookmarkEnd w:id="0"/>
    <w:p w14:paraId="14CE6108" w14:textId="4652B005" w:rsidR="00FC1AAD" w:rsidRPr="00460F4A" w:rsidRDefault="00ED052F" w:rsidP="00FF66BF">
      <w:pPr>
        <w:pStyle w:val="Heading2"/>
        <w:tabs>
          <w:tab w:val="left" w:pos="9195"/>
        </w:tabs>
      </w:pPr>
      <w:r>
        <w:t>Indications</w:t>
      </w:r>
    </w:p>
    <w:p w14:paraId="17F64BB6" w14:textId="77777777" w:rsidR="00E113EE" w:rsidRPr="00E113EE" w:rsidRDefault="00E113EE" w:rsidP="00E113EE">
      <w:pPr>
        <w:pStyle w:val="BodyText"/>
      </w:pPr>
      <w:r w:rsidRPr="00E113EE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068960EA" w14:textId="460624D3" w:rsidR="00E113EE" w:rsidRPr="00687187" w:rsidRDefault="00E113EE" w:rsidP="00E113EE">
      <w:pPr>
        <w:pStyle w:val="Heading3"/>
        <w:rPr>
          <w:vertAlign w:val="superscript"/>
        </w:rPr>
      </w:pPr>
      <w:r w:rsidRPr="00E113EE">
        <w:t>FDA-Approved Indication</w:t>
      </w:r>
      <w:r w:rsidR="005F1E94">
        <w:rPr>
          <w:vertAlign w:val="superscript"/>
        </w:rPr>
        <w:t>1</w:t>
      </w:r>
    </w:p>
    <w:p w14:paraId="5F57A9A7" w14:textId="3E412D1F" w:rsidR="00E113EE" w:rsidRDefault="00B50490" w:rsidP="001D29B0">
      <w:pPr>
        <w:pStyle w:val="ListParagraph"/>
      </w:pPr>
      <w:r>
        <w:t>T</w:t>
      </w:r>
      <w:r w:rsidR="00E113EE" w:rsidRPr="00E113EE">
        <w:t>reatment of excessive daytime sleepiness (EDS) or cataplexy in adult patients with narcolepsy.</w:t>
      </w:r>
    </w:p>
    <w:p w14:paraId="45A512E4" w14:textId="656CD6AD" w:rsidR="00C555E3" w:rsidRPr="00E113EE" w:rsidRDefault="00B50490" w:rsidP="00687187">
      <w:pPr>
        <w:pStyle w:val="ListParagraph"/>
      </w:pPr>
      <w:r>
        <w:t>T</w:t>
      </w:r>
      <w:r w:rsidR="00C555E3" w:rsidRPr="00C555E3">
        <w:t>reatment of excessive daytime sleepiness (EDS) in pediatric patients 6 years of age and older with narcolepsy.</w:t>
      </w:r>
    </w:p>
    <w:p w14:paraId="4C434745" w14:textId="6D379558" w:rsidR="00ED052F" w:rsidRPr="00E113EE" w:rsidRDefault="00E113EE" w:rsidP="00E113EE">
      <w:pPr>
        <w:pStyle w:val="BodyText"/>
      </w:pPr>
      <w:r w:rsidRPr="00E113EE">
        <w:t>All other indications are considered experimental/investigational and not medically necessary.</w:t>
      </w:r>
    </w:p>
    <w:p w14:paraId="36381B6D" w14:textId="08692F88" w:rsidR="000D2496" w:rsidRPr="00BD1CC1" w:rsidRDefault="000D2496" w:rsidP="000D2496">
      <w:pPr>
        <w:pStyle w:val="Heading2"/>
      </w:pPr>
      <w:r w:rsidRPr="00BD1CC1">
        <w:t>Documentation</w:t>
      </w:r>
    </w:p>
    <w:p w14:paraId="2180ED6E" w14:textId="465130E0" w:rsidR="000D2496" w:rsidRDefault="000D2496" w:rsidP="000D2496">
      <w:pPr>
        <w:pStyle w:val="BodyText"/>
      </w:pPr>
      <w:r w:rsidRPr="00BD1CC1">
        <w:t>Submission of the following information is necessary to initiate the prior authorization review:</w:t>
      </w:r>
    </w:p>
    <w:p w14:paraId="3D3FCEDF" w14:textId="77777777" w:rsidR="00A32FFC" w:rsidRPr="00A32FFC" w:rsidRDefault="00A32FFC" w:rsidP="00687187">
      <w:pPr>
        <w:pStyle w:val="Heading3"/>
      </w:pPr>
      <w:r w:rsidRPr="00A32FFC">
        <w:t>For initial requests, all of the following (if applicable):</w:t>
      </w:r>
    </w:p>
    <w:p w14:paraId="53F00E90" w14:textId="77777777" w:rsidR="00A32FFC" w:rsidRPr="00A32FFC" w:rsidRDefault="00A32FFC" w:rsidP="00687187">
      <w:pPr>
        <w:pStyle w:val="ListParagraph"/>
      </w:pPr>
      <w:r w:rsidRPr="00A32FFC">
        <w:t>Documentation of a sleep lab evaluation.</w:t>
      </w:r>
    </w:p>
    <w:p w14:paraId="3B6B8414" w14:textId="77777777" w:rsidR="00A32FFC" w:rsidRPr="00A32FFC" w:rsidRDefault="00A32FFC" w:rsidP="00687187">
      <w:pPr>
        <w:pStyle w:val="ListParagraph"/>
      </w:pPr>
      <w:bookmarkStart w:id="1" w:name="OLE_LINK3"/>
      <w:r w:rsidRPr="00A32FFC">
        <w:lastRenderedPageBreak/>
        <w:t>Chart notes, medical record documentation, or claims history supporting previous medications tried (if applicable), including response to therapy. If therapy is not advisable, documentation of clinical reason to avoid therapy</w:t>
      </w:r>
      <w:bookmarkEnd w:id="1"/>
      <w:r w:rsidRPr="00A32FFC">
        <w:t>.</w:t>
      </w:r>
    </w:p>
    <w:p w14:paraId="16E1186E" w14:textId="77777777" w:rsidR="00ED7E2F" w:rsidRDefault="00A32FFC" w:rsidP="00687187">
      <w:pPr>
        <w:pStyle w:val="Heading3"/>
      </w:pPr>
      <w:r w:rsidRPr="00A32FFC">
        <w:t xml:space="preserve">For continuation requests, </w:t>
      </w:r>
      <w:r w:rsidR="00ED7E2F">
        <w:t>documentation to support one of the following:</w:t>
      </w:r>
    </w:p>
    <w:p w14:paraId="16D5C98D" w14:textId="77777777" w:rsidR="005761B2" w:rsidRPr="005761B2" w:rsidRDefault="005761B2" w:rsidP="00687187">
      <w:pPr>
        <w:pStyle w:val="ListParagraph"/>
      </w:pPr>
      <w:r w:rsidRPr="005761B2">
        <w:t>For excessive daytime sleepiness with narcolepsy: chart notes or medical record documentation supporting a beneficial response to therapy as demonstrated by a decrease in symptoms of daytime sleepiness from baseline.</w:t>
      </w:r>
    </w:p>
    <w:p w14:paraId="4BA2B09B" w14:textId="1147352E" w:rsidR="00A32FFC" w:rsidRPr="00A32FFC" w:rsidRDefault="00054598" w:rsidP="00093D87">
      <w:pPr>
        <w:pStyle w:val="ListParagraph"/>
      </w:pPr>
      <w:r w:rsidRPr="00054598">
        <w:t xml:space="preserve">For cataplexy with narcolepsy: </w:t>
      </w:r>
      <w:r w:rsidR="00A32FFC" w:rsidRPr="00A32FFC">
        <w:t>chart notes or medical record documentation supporting a beneficial response to therapy</w:t>
      </w:r>
      <w:r w:rsidR="00ED12D1">
        <w:t xml:space="preserve"> as demonstrated by </w:t>
      </w:r>
      <w:r w:rsidR="00E70F66">
        <w:t>a</w:t>
      </w:r>
      <w:r w:rsidR="00A32FFC" w:rsidRPr="00A32FFC">
        <w:t xml:space="preserve"> </w:t>
      </w:r>
      <w:r w:rsidR="00A32FFC">
        <w:t>decrease in cataplexy episodes from baseline.</w:t>
      </w:r>
    </w:p>
    <w:p w14:paraId="4A5B15F8" w14:textId="722FBEEF" w:rsidR="00006174" w:rsidRPr="00AA1E6A" w:rsidRDefault="00006174" w:rsidP="00006174">
      <w:pPr>
        <w:pStyle w:val="Heading2"/>
      </w:pPr>
      <w:r w:rsidRPr="00BD1CC1">
        <w:t>Prescriber Specialties</w:t>
      </w:r>
    </w:p>
    <w:p w14:paraId="35CD271A" w14:textId="41FCD154" w:rsidR="00A32FFC" w:rsidRDefault="00006174" w:rsidP="00A32FFC">
      <w:pPr>
        <w:pStyle w:val="BodyText"/>
      </w:pPr>
      <w:r w:rsidRPr="00BD1CC1">
        <w:t xml:space="preserve">This </w:t>
      </w:r>
      <w:r w:rsidR="00A32FFC">
        <w:t>medication must be prescribed by or in consultation with a sleep specialist (e.g., neurologist experienced with sleep disorders, physician certified in sleep medicine).</w:t>
      </w:r>
    </w:p>
    <w:p w14:paraId="50A38FBA" w14:textId="33CCCB41" w:rsidR="00FE0C63" w:rsidRDefault="00685107" w:rsidP="00E050E1">
      <w:pPr>
        <w:pStyle w:val="Heading2"/>
        <w:rPr>
          <w:color w:val="C00000"/>
        </w:rPr>
      </w:pPr>
      <w:r>
        <w:t>Coverage Criteria</w:t>
      </w:r>
    </w:p>
    <w:p w14:paraId="0CBD536D" w14:textId="3207CDEF" w:rsidR="00A32FFC" w:rsidRPr="00687187" w:rsidRDefault="00A32FFC" w:rsidP="00A32FFC">
      <w:pPr>
        <w:pStyle w:val="Heading3"/>
        <w:rPr>
          <w:vertAlign w:val="superscript"/>
        </w:rPr>
      </w:pPr>
      <w:r w:rsidRPr="00A32FFC">
        <w:t xml:space="preserve">Excessive Daytime Sleepiness </w:t>
      </w:r>
      <w:r w:rsidR="000249D5">
        <w:t xml:space="preserve">(EDS) </w:t>
      </w:r>
      <w:r w:rsidRPr="00A32FFC">
        <w:t>with Narcolepsy</w:t>
      </w:r>
      <w:r w:rsidR="0057358F">
        <w:rPr>
          <w:vertAlign w:val="superscript"/>
        </w:rPr>
        <w:t>1-</w:t>
      </w:r>
      <w:r w:rsidR="00580983">
        <w:rPr>
          <w:vertAlign w:val="superscript"/>
        </w:rPr>
        <w:t>6</w:t>
      </w:r>
    </w:p>
    <w:p w14:paraId="56362549" w14:textId="73CFCE65" w:rsidR="00A32FFC" w:rsidRPr="00733D75" w:rsidRDefault="00A32FFC" w:rsidP="00A32FFC">
      <w:pPr>
        <w:pStyle w:val="BodyText"/>
      </w:pPr>
      <w:r w:rsidRPr="00733D75">
        <w:t>Authorization of 12 months may be granted for treatment of excessive daytime sleepiness (EDS)  with narcolepsy when all of the following criteria are met:</w:t>
      </w:r>
    </w:p>
    <w:p w14:paraId="76414430" w14:textId="77777777" w:rsidR="00A32FFC" w:rsidRPr="00A32FFC" w:rsidRDefault="00A32FFC" w:rsidP="00A32FFC">
      <w:pPr>
        <w:pStyle w:val="ListParagraph"/>
      </w:pPr>
      <w:r w:rsidRPr="00A32FFC">
        <w:t>The diagnosis of narcolepsy is confirmed by a sleep lab evaluation.</w:t>
      </w:r>
    </w:p>
    <w:p w14:paraId="4BAE0BAD" w14:textId="71A02915" w:rsidR="00D0750C" w:rsidRDefault="00D0750C" w:rsidP="00D0750C">
      <w:pPr>
        <w:pStyle w:val="ListParagraph"/>
      </w:pPr>
      <w:r>
        <w:t xml:space="preserve">The member is 6 years to less than 18 years of age and meets </w:t>
      </w:r>
      <w:r w:rsidR="00E15405">
        <w:t>either</w:t>
      </w:r>
      <w:r>
        <w:t xml:space="preserve"> of the following:</w:t>
      </w:r>
    </w:p>
    <w:p w14:paraId="6F02C59C" w14:textId="77777777" w:rsidR="00D0750C" w:rsidRDefault="00D0750C" w:rsidP="00687187">
      <w:pPr>
        <w:pStyle w:val="ListParagraph"/>
        <w:numPr>
          <w:ilvl w:val="1"/>
          <w:numId w:val="21"/>
        </w:numPr>
      </w:pPr>
      <w:r>
        <w:t>The member has experienced an inadequate treatment response or intolerance to at least one central nervous system (CNS) stimulant drug (e.g., amphetamine, dextroamphetamine, methylphenidate).</w:t>
      </w:r>
    </w:p>
    <w:p w14:paraId="5863E2BD" w14:textId="77777777" w:rsidR="00D0750C" w:rsidRDefault="00D0750C" w:rsidP="00687187">
      <w:pPr>
        <w:pStyle w:val="ListParagraph"/>
        <w:numPr>
          <w:ilvl w:val="1"/>
          <w:numId w:val="21"/>
        </w:numPr>
      </w:pPr>
      <w:r>
        <w:t>The member has a contraindication to at least one central nervous system (CNS) stimulant drug (e.g., amphetamine, dextroamphetamine, methylphenidate).</w:t>
      </w:r>
    </w:p>
    <w:p w14:paraId="0AFE4A40" w14:textId="3400D490" w:rsidR="00D0750C" w:rsidRDefault="00D0750C" w:rsidP="00D0750C">
      <w:pPr>
        <w:pStyle w:val="ListParagraph"/>
      </w:pPr>
      <w:r>
        <w:t xml:space="preserve">The member is 18 years of age or older and meets </w:t>
      </w:r>
      <w:r w:rsidR="001D7D77">
        <w:t>either</w:t>
      </w:r>
      <w:r>
        <w:t xml:space="preserve"> of the following:</w:t>
      </w:r>
    </w:p>
    <w:p w14:paraId="5D706962" w14:textId="062DEABC" w:rsidR="00584B84" w:rsidRDefault="00A32FFC" w:rsidP="005D3B8F">
      <w:pPr>
        <w:pStyle w:val="ListParagraph"/>
        <w:numPr>
          <w:ilvl w:val="1"/>
          <w:numId w:val="21"/>
        </w:numPr>
      </w:pPr>
      <w:r w:rsidRPr="00A32FFC">
        <w:t>The member has experienced an inadequate treatment response</w:t>
      </w:r>
      <w:r w:rsidR="006F24DC">
        <w:t xml:space="preserve"> or</w:t>
      </w:r>
      <w:r w:rsidRPr="00A32FFC">
        <w:t xml:space="preserve"> intolerance to armodafinil or modafinil</w:t>
      </w:r>
      <w:r w:rsidR="00584B84">
        <w:t>.</w:t>
      </w:r>
    </w:p>
    <w:p w14:paraId="40E1DED2" w14:textId="2A92F375" w:rsidR="00A32FFC" w:rsidRDefault="00584B84" w:rsidP="00687187">
      <w:pPr>
        <w:pStyle w:val="ListParagraph"/>
        <w:numPr>
          <w:ilvl w:val="1"/>
          <w:numId w:val="21"/>
        </w:numPr>
      </w:pPr>
      <w:r>
        <w:t>T</w:t>
      </w:r>
      <w:r w:rsidR="00A32FFC" w:rsidRPr="00A32FFC">
        <w:t>he member has a contraindication to both armodafinil and modafinil.</w:t>
      </w:r>
    </w:p>
    <w:p w14:paraId="64104A96" w14:textId="151D3BC8" w:rsidR="00A32FFC" w:rsidRPr="0057358F" w:rsidRDefault="00A32FFC" w:rsidP="00A32FFC">
      <w:pPr>
        <w:pStyle w:val="Heading3"/>
        <w:rPr>
          <w:bCs w:val="0"/>
          <w:vertAlign w:val="superscript"/>
        </w:rPr>
      </w:pPr>
      <w:r w:rsidRPr="00A32FFC">
        <w:rPr>
          <w:bCs w:val="0"/>
        </w:rPr>
        <w:lastRenderedPageBreak/>
        <w:t>Cataplexy with Narcolepsy</w:t>
      </w:r>
      <w:r w:rsidR="0057358F">
        <w:rPr>
          <w:bCs w:val="0"/>
          <w:vertAlign w:val="superscript"/>
        </w:rPr>
        <w:t>1,4-5</w:t>
      </w:r>
    </w:p>
    <w:p w14:paraId="600A555A" w14:textId="2D7A9D88" w:rsidR="00A32FFC" w:rsidRDefault="00A32FFC" w:rsidP="00A32FFC">
      <w:pPr>
        <w:pStyle w:val="BodyText"/>
      </w:pPr>
      <w:r w:rsidRPr="00A46497">
        <w:t xml:space="preserve">Authorization of 12 months may be granted for treatment of cataplexy </w:t>
      </w:r>
      <w:r>
        <w:t xml:space="preserve">in adult patients </w:t>
      </w:r>
      <w:r w:rsidRPr="00A46497">
        <w:t xml:space="preserve">with narcolepsy when </w:t>
      </w:r>
      <w:r w:rsidR="00514243">
        <w:t xml:space="preserve">both </w:t>
      </w:r>
      <w:r>
        <w:t>of the following criteria are met:</w:t>
      </w:r>
    </w:p>
    <w:p w14:paraId="07793703" w14:textId="77777777" w:rsidR="00A32FFC" w:rsidRPr="00A32FFC" w:rsidRDefault="00A32FFC" w:rsidP="00A32FFC">
      <w:pPr>
        <w:pStyle w:val="ListParagraph"/>
      </w:pPr>
      <w:r>
        <w:t>The d</w:t>
      </w:r>
      <w:r w:rsidRPr="00A46497">
        <w:t xml:space="preserve">iagnosis of narcolepsy </w:t>
      </w:r>
      <w:r>
        <w:t>is confirmed by</w:t>
      </w:r>
      <w:r w:rsidRPr="00A46497">
        <w:t xml:space="preserve"> a sleep lab </w:t>
      </w:r>
      <w:r w:rsidRPr="00A32FFC">
        <w:t>evaluation.</w:t>
      </w:r>
    </w:p>
    <w:p w14:paraId="0F1B4D60" w14:textId="36E7B266" w:rsidR="00D15343" w:rsidRDefault="00A32FFC" w:rsidP="00A32FFC">
      <w:pPr>
        <w:pStyle w:val="ListParagraph"/>
      </w:pPr>
      <w:r w:rsidRPr="00A32FFC">
        <w:t>The member ex</w:t>
      </w:r>
      <w:r>
        <w:t xml:space="preserve">periences at least 3 cataplexy attacks per </w:t>
      </w:r>
      <w:proofErr w:type="spellStart"/>
      <w:r>
        <w:t>we</w:t>
      </w:r>
      <w:r w:rsidR="00995AA0">
        <w:t>ek</w:t>
      </w:r>
      <w:r w:rsidR="0057358F">
        <w:t>.</w:t>
      </w:r>
      <w:r w:rsidR="00331C43" w:rsidRPr="00331C43">
        <w:rPr>
          <w:vertAlign w:val="superscript"/>
        </w:rPr>
        <w:t>C</w:t>
      </w:r>
      <w:proofErr w:type="spellEnd"/>
    </w:p>
    <w:p w14:paraId="7F06355B" w14:textId="777B6488" w:rsidR="00D13852" w:rsidRDefault="006970A4" w:rsidP="00D13852">
      <w:pPr>
        <w:pStyle w:val="Heading2"/>
        <w:rPr>
          <w:color w:val="C00000"/>
        </w:rPr>
      </w:pPr>
      <w:r w:rsidRPr="006970A4">
        <w:t>Continuation Of Therapy</w:t>
      </w:r>
    </w:p>
    <w:p w14:paraId="676786BF" w14:textId="5D3A51BF" w:rsidR="00A32FFC" w:rsidRPr="00A32FFC" w:rsidRDefault="00A32FFC" w:rsidP="00A32FFC">
      <w:pPr>
        <w:pStyle w:val="Heading3"/>
      </w:pPr>
      <w:r w:rsidRPr="00A32FFC">
        <w:t>Excessive Daytime Sleepiness</w:t>
      </w:r>
      <w:r w:rsidR="00C84177">
        <w:t xml:space="preserve"> (EDS)</w:t>
      </w:r>
      <w:r w:rsidRPr="00A32FFC">
        <w:t xml:space="preserve"> with Narcolepsy</w:t>
      </w:r>
    </w:p>
    <w:p w14:paraId="09A92DD3" w14:textId="77777777" w:rsidR="00A32FFC" w:rsidRPr="00A32FFC" w:rsidRDefault="00A32FFC" w:rsidP="00A32FFC">
      <w:pPr>
        <w:pStyle w:val="BodyText"/>
      </w:pPr>
      <w:r w:rsidRPr="00A32FFC">
        <w:t>Authorization of 12 months may be granted for continued treatment of excessive daytime sleepiness (EDS) with narcolepsy when the member has demonstrated beneficial response to treatment as defined by a decrease in symptoms of daytime sleepiness from baseline.</w:t>
      </w:r>
    </w:p>
    <w:p w14:paraId="1C1491CB" w14:textId="330A1708" w:rsidR="00A32FFC" w:rsidRPr="00A32FFC" w:rsidRDefault="00A32FFC" w:rsidP="00A32FFC">
      <w:pPr>
        <w:pStyle w:val="Heading3"/>
      </w:pPr>
      <w:r w:rsidRPr="00A32FFC">
        <w:t>Cataplexy with Narcolepsy</w:t>
      </w:r>
    </w:p>
    <w:p w14:paraId="5C29E193" w14:textId="77777777" w:rsidR="00A32FFC" w:rsidRPr="00A32FFC" w:rsidRDefault="00A32FFC" w:rsidP="00A32FFC">
      <w:pPr>
        <w:pStyle w:val="BodyText"/>
      </w:pPr>
      <w:r w:rsidRPr="00A32FFC">
        <w:t>Authorization of 12 months may be granted for continued treatment of cataplexy with narcolepsy when the member has demonstrated beneficial response to treatment as defined by a decrease in cataplexy episodes from baseline.</w:t>
      </w:r>
    </w:p>
    <w:p w14:paraId="10DA4309" w14:textId="3CA054E4" w:rsidR="00FF66BF" w:rsidRPr="008D1B34" w:rsidRDefault="00FF66BF" w:rsidP="00FF66BF">
      <w:pPr>
        <w:pStyle w:val="Heading2"/>
      </w:pPr>
      <w:r w:rsidRPr="008D1B34">
        <w:t>References</w:t>
      </w:r>
    </w:p>
    <w:p w14:paraId="1A9BC3BA" w14:textId="431BD66E" w:rsidR="00A32FFC" w:rsidRDefault="00A32FFC" w:rsidP="00A32FFC">
      <w:pPr>
        <w:pStyle w:val="ReferenceOrdered"/>
      </w:pPr>
      <w:r>
        <w:t xml:space="preserve">Wakix [package insert]. Plymouth Meeting, PA: Harmony Biosciences, LLC; </w:t>
      </w:r>
      <w:r w:rsidR="007F1AF2">
        <w:t>June 2024</w:t>
      </w:r>
      <w:r>
        <w:t>.</w:t>
      </w:r>
    </w:p>
    <w:p w14:paraId="64B088C4" w14:textId="77777777" w:rsidR="00A32FFC" w:rsidRDefault="00A32FFC" w:rsidP="00A32FFC">
      <w:pPr>
        <w:pStyle w:val="ReferenceOrdered"/>
      </w:pPr>
      <w:proofErr w:type="spellStart"/>
      <w:r>
        <w:t>Dauvilliers</w:t>
      </w:r>
      <w:proofErr w:type="spellEnd"/>
      <w:r>
        <w:t xml:space="preserve"> Y, </w:t>
      </w:r>
      <w:proofErr w:type="spellStart"/>
      <w:r>
        <w:t>Bassetti</w:t>
      </w:r>
      <w:proofErr w:type="spellEnd"/>
      <w:r>
        <w:t xml:space="preserve"> C, Lammers GJ, et al. </w:t>
      </w:r>
      <w:proofErr w:type="spellStart"/>
      <w:r>
        <w:t>Pitolisant</w:t>
      </w:r>
      <w:proofErr w:type="spellEnd"/>
      <w:r>
        <w:t xml:space="preserve"> versus placebo or modafinil in patients with narcolepsy: a double-blind, </w:t>
      </w:r>
      <w:proofErr w:type="spellStart"/>
      <w:r>
        <w:t>randomised</w:t>
      </w:r>
      <w:proofErr w:type="spellEnd"/>
      <w:r>
        <w:t xml:space="preserve"> trial. Lancet Neurol. 2013 Nov;12(11):1068-75. </w:t>
      </w:r>
      <w:proofErr w:type="spellStart"/>
      <w:r>
        <w:t>doi</w:t>
      </w:r>
      <w:proofErr w:type="spellEnd"/>
      <w:r>
        <w:t xml:space="preserve">: 10.1016/S1474-4422(13)70225-4. </w:t>
      </w:r>
      <w:proofErr w:type="spellStart"/>
      <w:r>
        <w:t>Epub</w:t>
      </w:r>
      <w:proofErr w:type="spellEnd"/>
      <w:r>
        <w:t xml:space="preserve"> 2013 Oct 7. Accessed March 10, 2020.</w:t>
      </w:r>
    </w:p>
    <w:p w14:paraId="637BAB01" w14:textId="77777777" w:rsidR="00A32FFC" w:rsidRDefault="00A32FFC" w:rsidP="00A32FFC">
      <w:pPr>
        <w:pStyle w:val="ReferenceOrdered"/>
      </w:pPr>
      <w:proofErr w:type="spellStart"/>
      <w:r>
        <w:t>Fronczek</w:t>
      </w:r>
      <w:proofErr w:type="spellEnd"/>
      <w:r>
        <w:t xml:space="preserve"> R, </w:t>
      </w:r>
      <w:proofErr w:type="spellStart"/>
      <w:r>
        <w:t>Middelkoop</w:t>
      </w:r>
      <w:proofErr w:type="spellEnd"/>
      <w:r>
        <w:t xml:space="preserve"> HA, van Dijk JG, Lammers GJ. Focusing on vigilance instead of sleepiness in the assessment of narcolepsy: high sensitivity of the Sustained Attention to Response Task (SART). Sleep. 2006 Feb;29(2):187-91. Accessed March 10, 2020.</w:t>
      </w:r>
    </w:p>
    <w:p w14:paraId="1A5C4378" w14:textId="77777777" w:rsidR="00A32FFC" w:rsidRDefault="00A32FFC" w:rsidP="00A32FFC">
      <w:pPr>
        <w:pStyle w:val="ReferenceOrdered"/>
      </w:pPr>
      <w:r>
        <w:t xml:space="preserve">Morgenthaler TI, </w:t>
      </w:r>
      <w:proofErr w:type="spellStart"/>
      <w:r>
        <w:t>Vishesh</w:t>
      </w:r>
      <w:proofErr w:type="spellEnd"/>
      <w:r>
        <w:t xml:space="preserve"> KK, Brown T, et al. Practice Parameters for the Treatment of Narcolepsy and other </w:t>
      </w:r>
      <w:proofErr w:type="spellStart"/>
      <w:r>
        <w:t>Hypersomnias</w:t>
      </w:r>
      <w:proofErr w:type="spellEnd"/>
      <w:r>
        <w:t xml:space="preserve"> of Central Origin. Sleep 2007;30(12):1705-11.</w:t>
      </w:r>
    </w:p>
    <w:p w14:paraId="609520F8" w14:textId="4DE825DA" w:rsidR="00A32FFC" w:rsidRDefault="00A32FFC" w:rsidP="00A32FFC">
      <w:pPr>
        <w:pStyle w:val="ReferenceOrdered"/>
      </w:pPr>
      <w:r>
        <w:t xml:space="preserve">Micromedex (electronic version). Truven Health Analytics, Greenwood Village, Colorado, USA. http://www.micromedexsolutions.com/. Accessed </w:t>
      </w:r>
      <w:r w:rsidR="004650A4">
        <w:t>December 5</w:t>
      </w:r>
      <w:r>
        <w:t>, 202</w:t>
      </w:r>
      <w:r w:rsidR="004650A4">
        <w:t>4</w:t>
      </w:r>
      <w:r>
        <w:t>.</w:t>
      </w:r>
    </w:p>
    <w:p w14:paraId="2CA6988C" w14:textId="628A08DD" w:rsidR="00C44990" w:rsidRDefault="00A32FFC">
      <w:pPr>
        <w:pStyle w:val="ReferenceOrdered"/>
      </w:pPr>
      <w:proofErr w:type="spellStart"/>
      <w:r>
        <w:t>Maski</w:t>
      </w:r>
      <w:proofErr w:type="spellEnd"/>
      <w:r>
        <w:t xml:space="preserve"> K, </w:t>
      </w:r>
      <w:proofErr w:type="spellStart"/>
      <w:r>
        <w:t>Trotti</w:t>
      </w:r>
      <w:proofErr w:type="spellEnd"/>
      <w:r>
        <w:t xml:space="preserve"> LM, </w:t>
      </w:r>
      <w:proofErr w:type="spellStart"/>
      <w:r>
        <w:t>Kotagal</w:t>
      </w:r>
      <w:proofErr w:type="spellEnd"/>
      <w:r>
        <w:t xml:space="preserve"> S, Auger RR, et al. Treatment of central disorders of hypersomnolence: an American Academy of Sleep Medicine clinical practice guideline. J Clin Sleep Med. Published online September 1, 2021.</w:t>
      </w:r>
    </w:p>
    <w:sectPr w:rsidR="00C44990" w:rsidSect="00AA1E6A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4CA0B" w14:textId="77777777" w:rsidR="001E74CC" w:rsidRDefault="001E74CC">
      <w:r>
        <w:separator/>
      </w:r>
    </w:p>
  </w:endnote>
  <w:endnote w:type="continuationSeparator" w:id="0">
    <w:p w14:paraId="3862E7DC" w14:textId="77777777" w:rsidR="001E74CC" w:rsidRDefault="001E74CC">
      <w:r>
        <w:continuationSeparator/>
      </w:r>
    </w:p>
  </w:endnote>
  <w:endnote w:type="continuationNotice" w:id="1">
    <w:p w14:paraId="699A46EF" w14:textId="77777777" w:rsidR="001E74CC" w:rsidRDefault="001E74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161DE1E7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64909">
      <w:rPr>
        <w:rFonts w:cs="Arial"/>
        <w:noProof/>
        <w:snapToGrid w:val="0"/>
        <w:color w:val="000000"/>
        <w:sz w:val="16"/>
        <w:szCs w:val="16"/>
      </w:rPr>
      <w:t>Wakix</w:t>
    </w:r>
    <w:r w:rsidR="00B64909" w:rsidRPr="00B64909">
      <w:rPr>
        <w:rFonts w:cs="Arial"/>
        <w:noProof/>
        <w:sz w:val="16"/>
        <w:szCs w:val="16"/>
      </w:rPr>
      <w:t xml:space="preserve"> SGM</w:t>
    </w:r>
    <w:r w:rsidR="00B64909">
      <w:rPr>
        <w:rFonts w:cs="Arial"/>
        <w:noProof/>
        <w:snapToGrid w:val="0"/>
        <w:color w:val="000000"/>
        <w:sz w:val="16"/>
        <w:szCs w:val="16"/>
      </w:rPr>
      <w:t xml:space="preserve"> 3176-A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0A0441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10411106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2873CE5C" w:rsidR="00F75C81" w:rsidRPr="00AA1E6A" w:rsidRDefault="00C36B72" w:rsidP="001012C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2172675C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64909">
      <w:rPr>
        <w:rFonts w:cs="Arial"/>
        <w:noProof/>
        <w:snapToGrid w:val="0"/>
        <w:color w:val="000000"/>
        <w:sz w:val="16"/>
        <w:szCs w:val="16"/>
      </w:rPr>
      <w:t>Wakix SGM</w:t>
    </w:r>
    <w:r w:rsidR="00B64909" w:rsidRPr="00B64909">
      <w:rPr>
        <w:rFonts w:cs="Arial"/>
        <w:noProof/>
        <w:sz w:val="16"/>
        <w:szCs w:val="16"/>
      </w:rPr>
      <w:t xml:space="preserve"> </w:t>
    </w:r>
    <w:r w:rsidR="00B64909">
      <w:rPr>
        <w:rFonts w:cs="Arial"/>
        <w:noProof/>
        <w:snapToGrid w:val="0"/>
        <w:color w:val="000000"/>
        <w:sz w:val="16"/>
        <w:szCs w:val="16"/>
      </w:rPr>
      <w:t>3176-A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0A0441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1B06D1A3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0746AF40" w:rsidR="00ED04EC" w:rsidRPr="00F50D98" w:rsidRDefault="00F50D98" w:rsidP="001012C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3ABD3" w14:textId="77777777" w:rsidR="001E74CC" w:rsidRDefault="001E74CC">
      <w:r>
        <w:separator/>
      </w:r>
    </w:p>
  </w:footnote>
  <w:footnote w:type="continuationSeparator" w:id="0">
    <w:p w14:paraId="655D6B0B" w14:textId="77777777" w:rsidR="001E74CC" w:rsidRDefault="001E74CC">
      <w:r>
        <w:continuationSeparator/>
      </w:r>
    </w:p>
  </w:footnote>
  <w:footnote w:type="continuationNotice" w:id="1">
    <w:p w14:paraId="7C85C82D" w14:textId="77777777" w:rsidR="001E74CC" w:rsidRDefault="001E74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50917BD2" w:rsidR="00ED04EC" w:rsidRPr="00AA1E6A" w:rsidRDefault="00995AA0" w:rsidP="00ED04EC">
          <w:pPr>
            <w:pStyle w:val="Header"/>
            <w:rPr>
              <w:rFonts w:ascii="Arial" w:hAnsi="Arial" w:cs="Arial"/>
              <w:color w:val="FF0000"/>
              <w:sz w:val="16"/>
              <w:szCs w:val="16"/>
            </w:rPr>
          </w:pPr>
          <w:r w:rsidRPr="001012CC">
            <w:rPr>
              <w:rFonts w:ascii="Arial" w:hAnsi="Arial" w:cs="Arial"/>
              <w:sz w:val="16"/>
              <w:szCs w:val="16"/>
            </w:rPr>
            <w:t>3176-A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9A7C5C"/>
    <w:multiLevelType w:val="hybridMultilevel"/>
    <w:tmpl w:val="532AF724"/>
    <w:lvl w:ilvl="0" w:tplc="C2B2E1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E62EA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E923D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5C0EE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11838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2B43D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348CD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C3AD1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9FCC9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2" w15:restartNumberingAfterBreak="0">
    <w:nsid w:val="0BE86D24"/>
    <w:multiLevelType w:val="hybridMultilevel"/>
    <w:tmpl w:val="9DEE3102"/>
    <w:lvl w:ilvl="0" w:tplc="81260074">
      <w:start w:val="1"/>
      <w:numFmt w:val="upperLetter"/>
      <w:lvlText w:val="%1."/>
      <w:lvlJc w:val="right"/>
      <w:pPr>
        <w:ind w:left="108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D6C0A80"/>
    <w:multiLevelType w:val="hybridMultilevel"/>
    <w:tmpl w:val="A76EB1C0"/>
    <w:lvl w:ilvl="0" w:tplc="31D0664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B97C5982">
      <w:start w:val="1"/>
      <w:numFmt w:val="lowerLetter"/>
      <w:lvlText w:val="%2."/>
      <w:lvlJc w:val="left"/>
      <w:pPr>
        <w:ind w:left="1800" w:hanging="360"/>
      </w:pPr>
      <w:rPr>
        <w:rFonts w:ascii="Symbol" w:hAnsi="Symbol"/>
      </w:rPr>
    </w:lvl>
    <w:lvl w:ilvl="2" w:tplc="FA74BE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AE6286E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917849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D9029E6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4B88373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81BA587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229C257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4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B2D3ACD"/>
    <w:multiLevelType w:val="hybridMultilevel"/>
    <w:tmpl w:val="37D07998"/>
    <w:lvl w:ilvl="0" w:tplc="4AF279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AEC2C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ACEEA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3F6EE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27EAD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B00D3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F785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7EA3E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7ECFB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8" w15:restartNumberingAfterBreak="0">
    <w:nsid w:val="1CDA7CA1"/>
    <w:multiLevelType w:val="hybridMultilevel"/>
    <w:tmpl w:val="0C904A6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280636"/>
    <w:multiLevelType w:val="hybridMultilevel"/>
    <w:tmpl w:val="634A8EC6"/>
    <w:lvl w:ilvl="0" w:tplc="9D16F11A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1" w:tplc="D64A6F08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B4A820D8">
      <w:start w:val="1"/>
      <w:numFmt w:val="decimal"/>
      <w:lvlText w:val="%4."/>
      <w:lvlJc w:val="left"/>
      <w:pPr>
        <w:ind w:left="1620" w:hanging="360"/>
      </w:pPr>
      <w:rPr>
        <w:rFonts w:ascii="Arial" w:eastAsia="Times New Roman" w:hAnsi="Arial" w:cs="Arial"/>
      </w:rPr>
    </w:lvl>
    <w:lvl w:ilvl="4" w:tplc="E1B0C40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 w:tplc="04090019">
      <w:start w:val="1"/>
      <w:numFmt w:val="lowerLetter"/>
      <w:lvlText w:val="%6."/>
      <w:lvlJc w:val="left"/>
      <w:pPr>
        <w:ind w:left="216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F2306AC"/>
    <w:multiLevelType w:val="hybridMultilevel"/>
    <w:tmpl w:val="4E86CED6"/>
    <w:lvl w:ilvl="0" w:tplc="6D2241C4">
      <w:start w:val="1"/>
      <w:numFmt w:val="upperLetter"/>
      <w:lvlText w:val="%1."/>
      <w:lvlJc w:val="right"/>
      <w:pPr>
        <w:ind w:left="1080" w:hanging="360"/>
      </w:p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A16DE"/>
    <w:multiLevelType w:val="hybridMultilevel"/>
    <w:tmpl w:val="8B6041F0"/>
    <w:lvl w:ilvl="0" w:tplc="11BA5A72">
      <w:start w:val="1"/>
      <w:numFmt w:val="decimal"/>
      <w:lvlText w:val="%1."/>
      <w:lvlJc w:val="left"/>
      <w:pPr>
        <w:ind w:left="16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E31654"/>
    <w:multiLevelType w:val="hybridMultilevel"/>
    <w:tmpl w:val="9E269108"/>
    <w:lvl w:ilvl="0" w:tplc="44024F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87AAA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EEEFE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A5ADD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93CD1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F8416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4FC35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3242F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CB065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0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4"/>
  </w:num>
  <w:num w:numId="2" w16cid:durableId="606935877">
    <w:abstractNumId w:val="30"/>
  </w:num>
  <w:num w:numId="3" w16cid:durableId="611589570">
    <w:abstractNumId w:val="25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5"/>
  </w:num>
  <w:num w:numId="15" w16cid:durableId="616722934">
    <w:abstractNumId w:val="10"/>
  </w:num>
  <w:num w:numId="16" w16cid:durableId="898320195">
    <w:abstractNumId w:val="23"/>
  </w:num>
  <w:num w:numId="17" w16cid:durableId="2128498676">
    <w:abstractNumId w:val="32"/>
  </w:num>
  <w:num w:numId="18" w16cid:durableId="299724409">
    <w:abstractNumId w:val="26"/>
  </w:num>
  <w:num w:numId="19" w16cid:durableId="214585573">
    <w:abstractNumId w:val="17"/>
  </w:num>
  <w:num w:numId="20" w16cid:durableId="1289816170">
    <w:abstractNumId w:val="19"/>
  </w:num>
  <w:num w:numId="21" w16cid:durableId="1066490929">
    <w:abstractNumId w:val="33"/>
  </w:num>
  <w:num w:numId="22" w16cid:durableId="1472481103">
    <w:abstractNumId w:val="28"/>
  </w:num>
  <w:num w:numId="23" w16cid:durableId="1997420403">
    <w:abstractNumId w:val="31"/>
  </w:num>
  <w:num w:numId="24" w16cid:durableId="33312838">
    <w:abstractNumId w:val="27"/>
  </w:num>
  <w:num w:numId="25" w16cid:durableId="507404939">
    <w:abstractNumId w:val="22"/>
  </w:num>
  <w:num w:numId="26" w16cid:durableId="1980111572">
    <w:abstractNumId w:val="20"/>
  </w:num>
  <w:num w:numId="27" w16cid:durableId="2079281975">
    <w:abstractNumId w:val="24"/>
  </w:num>
  <w:num w:numId="28" w16cid:durableId="1036737793">
    <w:abstractNumId w:val="12"/>
  </w:num>
  <w:num w:numId="29" w16cid:durableId="1419448773">
    <w:abstractNumId w:val="21"/>
  </w:num>
  <w:num w:numId="30" w16cid:durableId="1222326310">
    <w:abstractNumId w:val="16"/>
  </w:num>
  <w:num w:numId="31" w16cid:durableId="1718162419">
    <w:abstractNumId w:val="29"/>
  </w:num>
  <w:num w:numId="32" w16cid:durableId="710106215">
    <w:abstractNumId w:val="13"/>
  </w:num>
  <w:num w:numId="33" w16cid:durableId="1542325396">
    <w:abstractNumId w:val="11"/>
  </w:num>
  <w:num w:numId="34" w16cid:durableId="1082678496">
    <w:abstractNumId w:val="1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9D5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598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728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3D87"/>
    <w:rsid w:val="00094A59"/>
    <w:rsid w:val="00095B9C"/>
    <w:rsid w:val="0009781E"/>
    <w:rsid w:val="000A0441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4D9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1E12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2CC"/>
    <w:rsid w:val="00101748"/>
    <w:rsid w:val="00101C90"/>
    <w:rsid w:val="00101D40"/>
    <w:rsid w:val="0010327C"/>
    <w:rsid w:val="00103D01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49A6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2BB3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40A3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97F88"/>
    <w:rsid w:val="001A0E7C"/>
    <w:rsid w:val="001A1661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9B0"/>
    <w:rsid w:val="001D2E27"/>
    <w:rsid w:val="001D3206"/>
    <w:rsid w:val="001D36C8"/>
    <w:rsid w:val="001D4343"/>
    <w:rsid w:val="001D447D"/>
    <w:rsid w:val="001D536B"/>
    <w:rsid w:val="001D56F3"/>
    <w:rsid w:val="001D595E"/>
    <w:rsid w:val="001D5AA2"/>
    <w:rsid w:val="001D694B"/>
    <w:rsid w:val="001D7D77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4CC"/>
    <w:rsid w:val="001E7C7E"/>
    <w:rsid w:val="001F031E"/>
    <w:rsid w:val="001F0F10"/>
    <w:rsid w:val="001F23D0"/>
    <w:rsid w:val="001F24E7"/>
    <w:rsid w:val="001F2760"/>
    <w:rsid w:val="001F2F24"/>
    <w:rsid w:val="001F4025"/>
    <w:rsid w:val="001F489A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0EEE"/>
    <w:rsid w:val="00211DE1"/>
    <w:rsid w:val="00212062"/>
    <w:rsid w:val="00213310"/>
    <w:rsid w:val="002134FD"/>
    <w:rsid w:val="002140F4"/>
    <w:rsid w:val="0021437E"/>
    <w:rsid w:val="0021440B"/>
    <w:rsid w:val="0021446F"/>
    <w:rsid w:val="002151F0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B8D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5785E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589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AE3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236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0E76"/>
    <w:rsid w:val="002F1388"/>
    <w:rsid w:val="002F23BB"/>
    <w:rsid w:val="002F2FA8"/>
    <w:rsid w:val="002F311C"/>
    <w:rsid w:val="002F335A"/>
    <w:rsid w:val="002F5F01"/>
    <w:rsid w:val="002F6300"/>
    <w:rsid w:val="002F7079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09E"/>
    <w:rsid w:val="003262EA"/>
    <w:rsid w:val="0032667A"/>
    <w:rsid w:val="0032670A"/>
    <w:rsid w:val="00326990"/>
    <w:rsid w:val="00327428"/>
    <w:rsid w:val="00327C29"/>
    <w:rsid w:val="00330E29"/>
    <w:rsid w:val="003319A7"/>
    <w:rsid w:val="00331C43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376C3"/>
    <w:rsid w:val="0034083D"/>
    <w:rsid w:val="003409BE"/>
    <w:rsid w:val="00340B83"/>
    <w:rsid w:val="00341929"/>
    <w:rsid w:val="00341F47"/>
    <w:rsid w:val="00342365"/>
    <w:rsid w:val="00343BE2"/>
    <w:rsid w:val="00343E90"/>
    <w:rsid w:val="00345083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B74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5A59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0F0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4E0B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9E9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0A4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6DD9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AD"/>
    <w:rsid w:val="004B42FA"/>
    <w:rsid w:val="004B4E86"/>
    <w:rsid w:val="004B4E9C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0B7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38DB"/>
    <w:rsid w:val="004E407D"/>
    <w:rsid w:val="004E49A3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243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2D9"/>
    <w:rsid w:val="00525A0E"/>
    <w:rsid w:val="00525DDE"/>
    <w:rsid w:val="00527038"/>
    <w:rsid w:val="00527402"/>
    <w:rsid w:val="005276C8"/>
    <w:rsid w:val="00527DF6"/>
    <w:rsid w:val="0053069D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58F"/>
    <w:rsid w:val="00573B96"/>
    <w:rsid w:val="0057408D"/>
    <w:rsid w:val="00574CC2"/>
    <w:rsid w:val="00574D98"/>
    <w:rsid w:val="005752E2"/>
    <w:rsid w:val="0057545A"/>
    <w:rsid w:val="00575FB1"/>
    <w:rsid w:val="005761B2"/>
    <w:rsid w:val="00580455"/>
    <w:rsid w:val="005808CA"/>
    <w:rsid w:val="00580983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84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AA1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B8F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1E94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5DF3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0EF6"/>
    <w:rsid w:val="0068254A"/>
    <w:rsid w:val="00683327"/>
    <w:rsid w:val="00683AAE"/>
    <w:rsid w:val="00683C7C"/>
    <w:rsid w:val="0068444E"/>
    <w:rsid w:val="00684881"/>
    <w:rsid w:val="00684F59"/>
    <w:rsid w:val="00685107"/>
    <w:rsid w:val="00685164"/>
    <w:rsid w:val="006852BE"/>
    <w:rsid w:val="00685620"/>
    <w:rsid w:val="00685E5D"/>
    <w:rsid w:val="0068667E"/>
    <w:rsid w:val="00687187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5105"/>
    <w:rsid w:val="00696693"/>
    <w:rsid w:val="006970A4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5974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4DC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4FE9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71C"/>
    <w:rsid w:val="00747C35"/>
    <w:rsid w:val="007500C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57EA8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0A99"/>
    <w:rsid w:val="00770BC1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3CCF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0937"/>
    <w:rsid w:val="007D151B"/>
    <w:rsid w:val="007D1C72"/>
    <w:rsid w:val="007D1E64"/>
    <w:rsid w:val="007D223D"/>
    <w:rsid w:val="007D3BE5"/>
    <w:rsid w:val="007D5505"/>
    <w:rsid w:val="007D5B5D"/>
    <w:rsid w:val="007D68CB"/>
    <w:rsid w:val="007D71A7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1AF2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10E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41D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203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1EC6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AA2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AA0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0EF8"/>
    <w:rsid w:val="00A320D9"/>
    <w:rsid w:val="00A326BC"/>
    <w:rsid w:val="00A32801"/>
    <w:rsid w:val="00A32FFC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2CDD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0C0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22A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3F2E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490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17"/>
    <w:rsid w:val="00B57430"/>
    <w:rsid w:val="00B574C8"/>
    <w:rsid w:val="00B57C0E"/>
    <w:rsid w:val="00B61ED0"/>
    <w:rsid w:val="00B6319D"/>
    <w:rsid w:val="00B63FDB"/>
    <w:rsid w:val="00B648B6"/>
    <w:rsid w:val="00B64909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520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5E3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0A83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177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BDA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3FA0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50C"/>
    <w:rsid w:val="00D07FF9"/>
    <w:rsid w:val="00D10EEE"/>
    <w:rsid w:val="00D11F16"/>
    <w:rsid w:val="00D123F7"/>
    <w:rsid w:val="00D13852"/>
    <w:rsid w:val="00D1409F"/>
    <w:rsid w:val="00D14494"/>
    <w:rsid w:val="00D146DA"/>
    <w:rsid w:val="00D147DE"/>
    <w:rsid w:val="00D14C99"/>
    <w:rsid w:val="00D14DAB"/>
    <w:rsid w:val="00D14F8B"/>
    <w:rsid w:val="00D15343"/>
    <w:rsid w:val="00D1563A"/>
    <w:rsid w:val="00D159FF"/>
    <w:rsid w:val="00D15B2F"/>
    <w:rsid w:val="00D15D65"/>
    <w:rsid w:val="00D162A4"/>
    <w:rsid w:val="00D16D32"/>
    <w:rsid w:val="00D17464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BCD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582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3EE"/>
    <w:rsid w:val="00E11427"/>
    <w:rsid w:val="00E1169A"/>
    <w:rsid w:val="00E12598"/>
    <w:rsid w:val="00E13FD8"/>
    <w:rsid w:val="00E15405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6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4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6DFD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12D1"/>
    <w:rsid w:val="00ED28C4"/>
    <w:rsid w:val="00ED334E"/>
    <w:rsid w:val="00ED3A2A"/>
    <w:rsid w:val="00ED6038"/>
    <w:rsid w:val="00ED653F"/>
    <w:rsid w:val="00ED6550"/>
    <w:rsid w:val="00ED748E"/>
    <w:rsid w:val="00ED7D4A"/>
    <w:rsid w:val="00ED7E2F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0DB8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768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5EDE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59BA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86DC5BF3-F86B-4650-BCB6-38BE7CDC8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2.xml><?xml version="1.0" encoding="utf-8"?>
<ds:datastoreItem xmlns:ds="http://schemas.openxmlformats.org/officeDocument/2006/customXml" ds:itemID="{06675EF5-42E9-4608-AE06-A95F57E80881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Wakix SGM 3176-A</vt:lpstr>
    </vt:vector>
  </TitlesOfParts>
  <Company>CVS Caremark</Company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Wakix SGM 3176-A</dc:title>
  <dc:subject>Wakix SGM 3176-A</dc:subject>
  <dc:creator>CVS Caremark</dc:creator>
  <cp:keywords/>
  <cp:lastModifiedBy>Reynoso, Victor H</cp:lastModifiedBy>
  <cp:revision>19</cp:revision>
  <cp:lastPrinted>2018-01-09T08:01:00Z</cp:lastPrinted>
  <dcterms:created xsi:type="dcterms:W3CDTF">2024-12-17T15:38:00Z</dcterms:created>
  <dcterms:modified xsi:type="dcterms:W3CDTF">2025-05-05T20:14:00Z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MediaServiceImageTags">
    <vt:lpwstr/>
  </property>
  <property fmtid="{D5CDD505-2E9C-101B-9397-08002B2CF9AE}" pid="10" name="Order">
    <vt:r8>290700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ContentTypeId">
    <vt:lpwstr>0x0101004AE5A02051B9624785D9530930705DB3</vt:lpwstr>
  </property>
  <property fmtid="{D5CDD505-2E9C-101B-9397-08002B2CF9AE}" pid="18" name="_SourceUrl">
    <vt:lpwstr/>
  </property>
  <property fmtid="{D5CDD505-2E9C-101B-9397-08002B2CF9AE}" pid="19" name="_SharedFileIndex">
    <vt:lpwstr/>
  </property>
</Properties>
</file>